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p>
    <w:p w14:paraId="6778F89A" w14:textId="77777777" w:rsidR="00AC3516" w:rsidRPr="008E2026" w:rsidRDefault="002D0100" w:rsidP="00EB3BD1">
      <w:pPr>
        <w:pStyle w:val="H1"/>
      </w:pPr>
      <w:bookmarkStart w:id="0" w:name="_Toc197400126"/>
      <w:bookmarkStart w:id="1" w:name="_Toc360125099"/>
      <w:r>
        <w:lastRenderedPageBreak/>
        <w:t xml:space="preserve">Table of </w:t>
      </w:r>
      <w:r w:rsidR="00703B19" w:rsidRPr="008E2026">
        <w:t>Contents</w:t>
      </w:r>
      <w:bookmarkEnd w:id="0"/>
      <w:bookmarkEnd w:id="1"/>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77777777"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77777777"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77777777" w:rsidR="008A3944" w:rsidRDefault="008A3944" w:rsidP="008A3944">
      <w:pPr>
        <w:pStyle w:val="H1"/>
      </w:pPr>
      <w:bookmarkStart w:id="2" w:name="_Toc198801972"/>
      <w:bookmarkStart w:id="3" w:name="_Toc199914221"/>
      <w:bookmarkStart w:id="4" w:name="_Toc199914235"/>
      <w:bookmarkStart w:id="5" w:name="_Toc360125100"/>
      <w:r>
        <w:rPr>
          <w:noProof/>
        </w:rPr>
        <w:lastRenderedPageBreak/>
        <mc:AlternateContent>
          <mc:Choice Requires="wps">
            <w:drawing>
              <wp:anchor distT="0" distB="0" distL="114300" distR="114300" simplePos="0" relativeHeight="251659264" behindDoc="0" locked="0" layoutInCell="1" allowOverlap="1" wp14:anchorId="788F9900" wp14:editId="0083BB26">
                <wp:simplePos x="0" y="0"/>
                <wp:positionH relativeFrom="column">
                  <wp:posOffset>-112395</wp:posOffset>
                </wp:positionH>
                <wp:positionV relativeFrom="paragraph">
                  <wp:posOffset>-603885</wp:posOffset>
                </wp:positionV>
                <wp:extent cx="1776730" cy="879475"/>
                <wp:effectExtent l="0" t="0" r="13970" b="15875"/>
                <wp:wrapThrough wrapText="bothSides">
                  <wp:wrapPolygon edited="0">
                    <wp:start x="0" y="0"/>
                    <wp:lineTo x="0" y="21522"/>
                    <wp:lineTo x="21538" y="21522"/>
                    <wp:lineTo x="2153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879475"/>
                        </a:xfrm>
                        <a:prstGeom prst="rect">
                          <a:avLst/>
                        </a:prstGeom>
                        <a:solidFill>
                          <a:srgbClr val="FFFFFF"/>
                        </a:solidFill>
                        <a:ln w="9525">
                          <a:solidFill>
                            <a:srgbClr val="000000"/>
                          </a:solidFill>
                          <a:miter lim="800000"/>
                          <a:headEnd/>
                          <a:tailEnd/>
                        </a:ln>
                      </wps:spPr>
                      <wps:txbx>
                        <w:txbxContent>
                          <w:p w14:paraId="6C2AABFA" w14:textId="77777777" w:rsidR="008A3944" w:rsidRPr="00791CAC" w:rsidRDefault="008A3944" w:rsidP="008A3944">
                            <w:pPr>
                              <w:rPr>
                                <w:rFonts w:ascii="Arial" w:hAnsi="Arial" w:cs="Arial"/>
                                <w:color w:val="FF0000"/>
                              </w:rPr>
                            </w:pPr>
                            <w:r w:rsidRPr="00791CAC">
                              <w:rPr>
                                <w:rFonts w:ascii="Arial" w:hAnsi="Arial" w:cs="Arial"/>
                                <w:color w:val="FF0000"/>
                              </w:rPr>
                              <w:t>[Insert Your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47.55pt;width:139.9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">
                <v:textbox>
                  <w:txbxContent>
                    <w:p w14:paraId="6C2AABFA" w14:textId="77777777" w:rsidR="008A3944" w:rsidRPr="00791CAC" w:rsidRDefault="008A3944" w:rsidP="008A3944">
                      <w:pPr>
                        <w:rPr>
                          <w:rFonts w:ascii="Arial" w:hAnsi="Arial" w:cs="Arial"/>
                          <w:color w:val="FF0000"/>
                        </w:rPr>
                      </w:pPr>
                      <w:r w:rsidRPr="00791CAC">
                        <w:rPr>
                          <w:rFonts w:ascii="Arial" w:hAnsi="Arial" w:cs="Arial"/>
                          <w:color w:val="FF0000"/>
                        </w:rPr>
                        <w:t>[Insert Your Logo Here]</w:t>
                      </w:r>
                    </w:p>
                  </w:txbxContent>
                </v:textbox>
                <w10:wrap type="through"/>
              </v:shape>
            </w:pict>
          </mc:Fallback>
        </mc:AlternateContent>
      </w:r>
      <w:r>
        <w:t>Introduction</w:t>
      </w:r>
      <w:bookmarkEnd w:id="2"/>
      <w:bookmarkEnd w:id="3"/>
      <w:bookmarkEnd w:id="4"/>
      <w:bookmarkEnd w:id="5"/>
      <w:r>
        <w:t xml:space="preserve"> </w:t>
      </w:r>
    </w:p>
    <w:p w14:paraId="1A9AE5B9" w14:textId="15E61953" w:rsidR="008A3944" w:rsidRDefault="008A3944" w:rsidP="008A3944">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04005D">
        <w:rPr>
          <w:rStyle w:val="StrongEmphasis"/>
        </w:rPr>
        <w:t>[Financial Institution A]</w:t>
      </w:r>
      <w:r w:rsidR="0004005D">
        <w:t xml:space="preserve"> and </w:t>
      </w:r>
      <w:r w:rsidR="0004005D">
        <w:rPr>
          <w:rStyle w:val="StrongEmphasis"/>
        </w:rPr>
        <w:t>[Financial Institution B]</w:t>
      </w:r>
      <w:r w:rsidR="0004005D">
        <w:t xml:space="preserve"> 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41402A9" w14:textId="77777777" w:rsidR="008A3944" w:rsidRDefault="008A3944" w:rsidP="008A3944">
      <w:pPr>
        <w:pStyle w:val="H1Note"/>
      </w:pPr>
      <w:r w:rsidRPr="00D35F86">
        <w:t xml:space="preserve">This update is time sensitive and can be completed on or after </w:t>
      </w:r>
      <w:r w:rsidRPr="00D35F86">
        <w:rPr>
          <w:rStyle w:val="StrongEmphasis"/>
        </w:rPr>
        <w:t>[Enter Date]</w:t>
      </w:r>
      <w:r w:rsidRPr="00D35F86">
        <w:t>.</w:t>
      </w:r>
    </w:p>
    <w:p w14:paraId="5EB6CF68" w14:textId="77777777" w:rsidR="00E129DF" w:rsidRDefault="00D601DD" w:rsidP="00E43012">
      <w:pPr>
        <w:pStyle w:val="H1"/>
      </w:pPr>
      <w:r>
        <w:t xml:space="preserve"> </w:t>
      </w:r>
      <w:bookmarkStart w:id="6" w:name="_Toc197400131"/>
      <w:bookmarkStart w:id="7" w:name="_Toc360125101"/>
      <w:r w:rsidR="002A6EA5">
        <w:t xml:space="preserve">Documentation and </w:t>
      </w:r>
      <w:r w:rsidR="00015A5D">
        <w:t>Procedure</w:t>
      </w:r>
      <w:r w:rsidR="002A6EA5">
        <w:t>s</w:t>
      </w:r>
      <w:bookmarkEnd w:id="6"/>
      <w:bookmarkEnd w:id="7"/>
    </w:p>
    <w:p w14:paraId="263FA399" w14:textId="77777777" w:rsidR="008A3944" w:rsidRPr="005A1E51" w:rsidRDefault="008A3944" w:rsidP="008A3944">
      <w:pPr>
        <w:pStyle w:val="H2Task"/>
      </w:pPr>
      <w:bookmarkStart w:id="8" w:name="_Toc199914237"/>
      <w:bookmarkStart w:id="9" w:name="_Toc197400132"/>
      <w:bookmarkStart w:id="10" w:name="_Toc360125102"/>
      <w:r w:rsidRPr="005A1E51">
        <w:t>Conversion Preparation</w:t>
      </w:r>
      <w:bookmarkEnd w:id="8"/>
      <w:bookmarkEnd w:id="10"/>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77777777" w:rsidR="008A3944" w:rsidRDefault="008A3944" w:rsidP="008A3944">
      <w:pPr>
        <w:pStyle w:val="H2Task"/>
      </w:pPr>
      <w:bookmarkStart w:id="11" w:name="_Toc199914238"/>
      <w:bookmarkStart w:id="12" w:name="_Toc199921543"/>
      <w:bookmarkStart w:id="13" w:name="_Toc199914239"/>
      <w:bookmarkStart w:id="14" w:name="_Toc197400134"/>
      <w:bookmarkStart w:id="15" w:name="_Toc360125103"/>
      <w:bookmarkEnd w:id="9"/>
      <w:r w:rsidRPr="00490D9C">
        <w:t>Connect to [Financial Institution A]</w:t>
      </w:r>
      <w:bookmarkEnd w:id="11"/>
      <w:bookmarkEnd w:id="12"/>
      <w:bookmarkEnd w:id="15"/>
    </w:p>
    <w:p w14:paraId="5646BB0B" w14:textId="77777777" w:rsidR="008A3944" w:rsidRDefault="008A3944" w:rsidP="008A3944">
      <w:pPr>
        <w:pStyle w:val="H2OL"/>
        <w:numPr>
          <w:ilvl w:val="0"/>
          <w:numId w:val="25"/>
        </w:numPr>
      </w:pPr>
      <w:r>
        <w:t xml:space="preserve">Log in to </w:t>
      </w:r>
      <w:r w:rsidRPr="003C540D">
        <w:rPr>
          <w:rStyle w:val="StrongEmphasis"/>
        </w:rPr>
        <w:t>[Financial Institution A]</w:t>
      </w:r>
      <w:r>
        <w:t xml:space="preserve"> web site at </w:t>
      </w:r>
      <w:r w:rsidRPr="003C540D">
        <w:rPr>
          <w:rStyle w:val="StrongEmphasis"/>
        </w:rPr>
        <w:t>[Financial Institution A URL]</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6" w:name="_Toc360125104"/>
      <w:r w:rsidRPr="00490D9C">
        <w:t>Match Downloaded Transactions</w:t>
      </w:r>
      <w:bookmarkEnd w:id="13"/>
      <w:bookmarkEnd w:id="16"/>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7" w:name="_Toc199914240"/>
      <w:bookmarkStart w:id="18" w:name="_Toc360125105"/>
      <w:r w:rsidRPr="00490D9C">
        <w:lastRenderedPageBreak/>
        <w:t>Deactivate Your Account(s)</w:t>
      </w:r>
      <w:bookmarkEnd w:id="17"/>
      <w:bookmarkEnd w:id="18"/>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bookmarkStart w:id="19" w:name="_GoBack"/>
      <w:bookmarkEnd w:id="19"/>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77777777" w:rsidR="008A3944" w:rsidRPr="00490D9C" w:rsidRDefault="008A3944" w:rsidP="008A3944">
      <w:pPr>
        <w:pStyle w:val="H2OL"/>
      </w:pPr>
      <w:r>
        <w:t xml:space="preserve">Repeat steps 2 – 6 for each account at </w:t>
      </w:r>
      <w:r w:rsidRPr="0051577D">
        <w:rPr>
          <w:rStyle w:val="StrongEmphasis"/>
        </w:rPr>
        <w:t>[Financial Institution A].</w:t>
      </w:r>
    </w:p>
    <w:bookmarkEnd w:id="14"/>
    <w:p w14:paraId="01C59343" w14:textId="77777777" w:rsidR="00E129DF" w:rsidRDefault="00E129DF" w:rsidP="008E2026"/>
    <w:p w14:paraId="13AF2F4F" w14:textId="77777777" w:rsidR="006E38E8" w:rsidRDefault="008A3944" w:rsidP="006E38E8">
      <w:pPr>
        <w:pStyle w:val="H2Task"/>
      </w:pPr>
      <w:bookmarkStart w:id="20" w:name="_Toc360125106"/>
      <w:r w:rsidRPr="00791CAC">
        <w:t xml:space="preserve">Re-activate Your Account(s) at </w:t>
      </w:r>
      <w:r w:rsidRPr="00C9091E">
        <w:t>[Financial Institution B]</w:t>
      </w:r>
      <w:bookmarkEnd w:id="20"/>
    </w:p>
    <w:p w14:paraId="42B6A57F" w14:textId="77777777" w:rsidR="008A3944" w:rsidRPr="00791CAC" w:rsidRDefault="008A3944" w:rsidP="008A3944">
      <w:pPr>
        <w:pStyle w:val="H2OL"/>
        <w:numPr>
          <w:ilvl w:val="0"/>
          <w:numId w:val="29"/>
        </w:numPr>
      </w:pPr>
      <w:r w:rsidRPr="008A3944">
        <w:rPr>
          <w:snapToGrid w:val="0"/>
          <w:color w:val="000000"/>
        </w:rPr>
        <w:t xml:space="preserve">Log in to </w:t>
      </w:r>
      <w:r w:rsidRPr="008A3944">
        <w:rPr>
          <w:rStyle w:val="StrongEmphasis"/>
        </w:rPr>
        <w:t>[Financial Institution B]</w:t>
      </w:r>
      <w:r w:rsidRPr="008A3944">
        <w:rPr>
          <w:snapToGrid w:val="0"/>
        </w:rPr>
        <w:t xml:space="preserve"> web site at </w:t>
      </w:r>
      <w:r w:rsidRPr="008A3944">
        <w:rPr>
          <w:rStyle w:val="StrongEmphasis"/>
        </w:rPr>
        <w:t>[Financial Institution B URL].</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77777777" w:rsidR="008A3944" w:rsidRPr="002B7A1D" w:rsidRDefault="008A3944" w:rsidP="008A3944">
      <w:pPr>
        <w:pStyle w:val="H2OL"/>
        <w:rPr>
          <w:noProof/>
          <w:color w:val="000000"/>
        </w:rPr>
      </w:pPr>
      <w:r>
        <w:rPr>
          <w:noProof/>
          <w:color w:val="000000"/>
        </w:rPr>
        <w:t xml:space="preserve">Repeat steps 1 – 6 for each account at </w:t>
      </w:r>
      <w:r w:rsidRPr="008A3944">
        <w:rPr>
          <w:rStyle w:val="StrongEmphasis"/>
        </w:rPr>
        <w:t>[Financial Institution B]</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E6"/>
    <w:rsid w:val="001A1AB1"/>
    <w:rsid w:val="001B6335"/>
    <w:rsid w:val="001E4A6F"/>
    <w:rsid w:val="001E4D63"/>
    <w:rsid w:val="00211DD1"/>
    <w:rsid w:val="00216E9D"/>
    <w:rsid w:val="00290B94"/>
    <w:rsid w:val="002A41B7"/>
    <w:rsid w:val="002A6EA5"/>
    <w:rsid w:val="002C32CA"/>
    <w:rsid w:val="002D0100"/>
    <w:rsid w:val="00301D43"/>
    <w:rsid w:val="00320807"/>
    <w:rsid w:val="00340AC6"/>
    <w:rsid w:val="003764CA"/>
    <w:rsid w:val="003A79D7"/>
    <w:rsid w:val="003C540D"/>
    <w:rsid w:val="004271BC"/>
    <w:rsid w:val="00432787"/>
    <w:rsid w:val="00436FCA"/>
    <w:rsid w:val="00451839"/>
    <w:rsid w:val="00462C10"/>
    <w:rsid w:val="0047221B"/>
    <w:rsid w:val="00494CE2"/>
    <w:rsid w:val="004C5067"/>
    <w:rsid w:val="004E2509"/>
    <w:rsid w:val="004F1364"/>
    <w:rsid w:val="00520D37"/>
    <w:rsid w:val="005550BA"/>
    <w:rsid w:val="0056202F"/>
    <w:rsid w:val="005706E6"/>
    <w:rsid w:val="00580847"/>
    <w:rsid w:val="005A5F56"/>
    <w:rsid w:val="005E290E"/>
    <w:rsid w:val="00603990"/>
    <w:rsid w:val="00605D29"/>
    <w:rsid w:val="006117E8"/>
    <w:rsid w:val="00691F77"/>
    <w:rsid w:val="0069306E"/>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346FE"/>
    <w:rsid w:val="00A9020D"/>
    <w:rsid w:val="00AA79A3"/>
    <w:rsid w:val="00AB14C9"/>
    <w:rsid w:val="00AC0737"/>
    <w:rsid w:val="00AC3516"/>
    <w:rsid w:val="00B172CD"/>
    <w:rsid w:val="00B22550"/>
    <w:rsid w:val="00B751E9"/>
    <w:rsid w:val="00B9457A"/>
    <w:rsid w:val="00BC62E9"/>
    <w:rsid w:val="00BD0425"/>
    <w:rsid w:val="00C23C73"/>
    <w:rsid w:val="00C43692"/>
    <w:rsid w:val="00C66452"/>
    <w:rsid w:val="00C70B64"/>
    <w:rsid w:val="00C9091E"/>
    <w:rsid w:val="00C94BAC"/>
    <w:rsid w:val="00CB53F8"/>
    <w:rsid w:val="00CC45AF"/>
    <w:rsid w:val="00CE52BD"/>
    <w:rsid w:val="00CE6002"/>
    <w:rsid w:val="00D04DFE"/>
    <w:rsid w:val="00D1739C"/>
    <w:rsid w:val="00D601DD"/>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8980-BE55-4182-A79F-B104ED1C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Tudor, Aaron</cp:lastModifiedBy>
  <cp:revision>5</cp:revision>
  <cp:lastPrinted>2012-04-05T21:11:00Z</cp:lastPrinted>
  <dcterms:created xsi:type="dcterms:W3CDTF">2012-11-15T17:25:00Z</dcterms:created>
  <dcterms:modified xsi:type="dcterms:W3CDTF">2013-06-28T02:36:00Z</dcterms:modified>
</cp:coreProperties>
</file>